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A270" w14:textId="3C0A1D58" w:rsidR="00EA7F55" w:rsidRDefault="00CE4601" w:rsidP="00CE4601">
      <w:pPr>
        <w:pStyle w:val="berschrift1"/>
      </w:pPr>
      <w:bookmarkStart w:id="0" w:name="_GoBack"/>
      <w:bookmarkEnd w:id="0"/>
      <w:r>
        <w:t>Klausurenkurs-VWL-23.02.23</w:t>
      </w:r>
    </w:p>
    <w:p w14:paraId="6B148FF5" w14:textId="0EE3A5CA" w:rsidR="00CE4601" w:rsidRPr="0092305F" w:rsidRDefault="00CE4601">
      <w:pPr>
        <w:rPr>
          <w:b/>
          <w:bCs/>
          <w:u w:val="single"/>
        </w:rPr>
      </w:pPr>
    </w:p>
    <w:p w14:paraId="4E5BEC8E" w14:textId="3B3AE03D" w:rsidR="00CE4601" w:rsidRPr="0092305F" w:rsidRDefault="00CE4601">
      <w:pPr>
        <w:rPr>
          <w:b/>
          <w:bCs/>
          <w:u w:val="single"/>
        </w:rPr>
      </w:pPr>
      <w:r w:rsidRPr="0092305F">
        <w:rPr>
          <w:b/>
          <w:bCs/>
          <w:u w:val="single"/>
        </w:rPr>
        <w:t xml:space="preserve">Aufgabe 1- Angebot und Nachfrage </w:t>
      </w:r>
    </w:p>
    <w:p w14:paraId="5CB9687D" w14:textId="48BC0523" w:rsidR="00CE4601" w:rsidRDefault="00CE4601">
      <w:r>
        <w:t>Welche Folgen haben die in der Tabelle beschriebenen Entwicklung für den jeweiligen Markt? Geben Sie die betroffene Kurve und die Richtung der Kurvenbeschreibung an. Führt die Entwicklung zu einem Anstieg oder einem Sinken des Marktpreises und der gehandelten Menge im neuen Gleichgewicht?</w:t>
      </w:r>
    </w:p>
    <w:p w14:paraId="701DE116" w14:textId="4550ECDF" w:rsidR="00CE4601" w:rsidRDefault="00CE4601"/>
    <w:tbl>
      <w:tblPr>
        <w:tblStyle w:val="Tabellenraster"/>
        <w:tblW w:w="0" w:type="auto"/>
        <w:tblLook w:val="04A0" w:firstRow="1" w:lastRow="0" w:firstColumn="1" w:lastColumn="0" w:noHBand="0" w:noVBand="1"/>
      </w:tblPr>
      <w:tblGrid>
        <w:gridCol w:w="3114"/>
        <w:gridCol w:w="2410"/>
        <w:gridCol w:w="1842"/>
        <w:gridCol w:w="1696"/>
      </w:tblGrid>
      <w:tr w:rsidR="00CE4601" w14:paraId="2E3ECF46" w14:textId="77777777" w:rsidTr="00CE4601">
        <w:tc>
          <w:tcPr>
            <w:tcW w:w="3114" w:type="dxa"/>
            <w:shd w:val="clear" w:color="auto" w:fill="1F3864" w:themeFill="accent1" w:themeFillShade="80"/>
          </w:tcPr>
          <w:p w14:paraId="554E2C67" w14:textId="77777777" w:rsidR="00CE4601" w:rsidRPr="00DC39F3" w:rsidRDefault="00CE4601">
            <w:pPr>
              <w:rPr>
                <w:b/>
                <w:bCs/>
                <w:color w:val="FFFFFF" w:themeColor="background1"/>
              </w:rPr>
            </w:pPr>
          </w:p>
        </w:tc>
        <w:tc>
          <w:tcPr>
            <w:tcW w:w="2410" w:type="dxa"/>
            <w:shd w:val="clear" w:color="auto" w:fill="1F3864" w:themeFill="accent1" w:themeFillShade="80"/>
          </w:tcPr>
          <w:p w14:paraId="330A5A76" w14:textId="7AF8F222" w:rsidR="00CE4601" w:rsidRPr="0092305F" w:rsidRDefault="00CE4601">
            <w:pPr>
              <w:rPr>
                <w:b/>
                <w:bCs/>
                <w:color w:val="FFFFFF" w:themeColor="background1"/>
              </w:rPr>
            </w:pPr>
            <w:r w:rsidRPr="0092305F">
              <w:rPr>
                <w:b/>
                <w:bCs/>
                <w:color w:val="FFFFFF" w:themeColor="background1"/>
              </w:rPr>
              <w:t>Betroffene Kurve und Richtung der Verschiebung</w:t>
            </w:r>
          </w:p>
        </w:tc>
        <w:tc>
          <w:tcPr>
            <w:tcW w:w="1842" w:type="dxa"/>
            <w:shd w:val="clear" w:color="auto" w:fill="1F3864" w:themeFill="accent1" w:themeFillShade="80"/>
          </w:tcPr>
          <w:p w14:paraId="2F3D420D" w14:textId="4B6974EF" w:rsidR="00CE4601" w:rsidRPr="0092305F" w:rsidRDefault="00CE4601">
            <w:pPr>
              <w:rPr>
                <w:b/>
                <w:bCs/>
                <w:color w:val="FFFFFF" w:themeColor="background1"/>
              </w:rPr>
            </w:pPr>
            <w:r w:rsidRPr="0092305F">
              <w:rPr>
                <w:b/>
                <w:bCs/>
                <w:color w:val="FFFFFF" w:themeColor="background1"/>
              </w:rPr>
              <w:t>Marktpreis</w:t>
            </w:r>
          </w:p>
        </w:tc>
        <w:tc>
          <w:tcPr>
            <w:tcW w:w="1696" w:type="dxa"/>
            <w:shd w:val="clear" w:color="auto" w:fill="1F3864" w:themeFill="accent1" w:themeFillShade="80"/>
          </w:tcPr>
          <w:p w14:paraId="5C1BB6C0" w14:textId="518ECA39" w:rsidR="00CE4601" w:rsidRPr="0092305F" w:rsidRDefault="00CE4601">
            <w:pPr>
              <w:rPr>
                <w:b/>
                <w:bCs/>
                <w:color w:val="FFFFFF" w:themeColor="background1"/>
              </w:rPr>
            </w:pPr>
            <w:r w:rsidRPr="0092305F">
              <w:rPr>
                <w:b/>
                <w:bCs/>
                <w:color w:val="FFFFFF" w:themeColor="background1"/>
              </w:rPr>
              <w:t>Menge</w:t>
            </w:r>
          </w:p>
        </w:tc>
      </w:tr>
      <w:tr w:rsidR="00CE4601" w14:paraId="32940BB8" w14:textId="77777777" w:rsidTr="00CE4601">
        <w:tc>
          <w:tcPr>
            <w:tcW w:w="3114" w:type="dxa"/>
          </w:tcPr>
          <w:p w14:paraId="3AA27D02" w14:textId="4455527B" w:rsidR="00CE4601" w:rsidRPr="00DC39F3" w:rsidRDefault="00CE4601" w:rsidP="00CE4601">
            <w:pPr>
              <w:rPr>
                <w:b/>
                <w:bCs/>
              </w:rPr>
            </w:pPr>
            <w:r w:rsidRPr="00DC39F3">
              <w:rPr>
                <w:b/>
                <w:bCs/>
              </w:rPr>
              <w:t xml:space="preserve">Weltmarkt für Rohöl: Norwegen entdeckt neue Ölfelder </w:t>
            </w:r>
          </w:p>
        </w:tc>
        <w:tc>
          <w:tcPr>
            <w:tcW w:w="2410" w:type="dxa"/>
          </w:tcPr>
          <w:p w14:paraId="06A281A2" w14:textId="265BBB5B" w:rsidR="00CE4601" w:rsidRDefault="00CE4601"/>
        </w:tc>
        <w:tc>
          <w:tcPr>
            <w:tcW w:w="1842" w:type="dxa"/>
          </w:tcPr>
          <w:p w14:paraId="2353D768" w14:textId="66FF920A" w:rsidR="00CE4601" w:rsidRDefault="00CE4601"/>
        </w:tc>
        <w:tc>
          <w:tcPr>
            <w:tcW w:w="1696" w:type="dxa"/>
          </w:tcPr>
          <w:p w14:paraId="627B630E" w14:textId="75928809" w:rsidR="00CE4601" w:rsidRDefault="00CE4601"/>
        </w:tc>
      </w:tr>
      <w:tr w:rsidR="00CE4601" w14:paraId="08537039" w14:textId="77777777" w:rsidTr="00CE4601">
        <w:tc>
          <w:tcPr>
            <w:tcW w:w="3114" w:type="dxa"/>
          </w:tcPr>
          <w:p w14:paraId="74926071" w14:textId="7607F522" w:rsidR="00CE4601" w:rsidRPr="00DC39F3" w:rsidRDefault="00CE4601">
            <w:pPr>
              <w:rPr>
                <w:b/>
                <w:bCs/>
              </w:rPr>
            </w:pPr>
            <w:r w:rsidRPr="00DC39F3">
              <w:rPr>
                <w:b/>
                <w:bCs/>
              </w:rPr>
              <w:t>Weltmarkt für Rohöl: In China steigt die Anzahl der PKW stark an</w:t>
            </w:r>
          </w:p>
        </w:tc>
        <w:tc>
          <w:tcPr>
            <w:tcW w:w="2410" w:type="dxa"/>
          </w:tcPr>
          <w:p w14:paraId="2E8ABDA5" w14:textId="282F5C8A" w:rsidR="00CE4601" w:rsidRDefault="00CE4601"/>
        </w:tc>
        <w:tc>
          <w:tcPr>
            <w:tcW w:w="1842" w:type="dxa"/>
          </w:tcPr>
          <w:p w14:paraId="1B9A40AE" w14:textId="03B5D6AD" w:rsidR="00CE4601" w:rsidRDefault="00CE4601"/>
        </w:tc>
        <w:tc>
          <w:tcPr>
            <w:tcW w:w="1696" w:type="dxa"/>
          </w:tcPr>
          <w:p w14:paraId="07B00F9B" w14:textId="71F957A7" w:rsidR="00CE4601" w:rsidRDefault="00CE4601"/>
        </w:tc>
      </w:tr>
      <w:tr w:rsidR="00CE4601" w14:paraId="618801E3" w14:textId="77777777" w:rsidTr="009873EF">
        <w:trPr>
          <w:trHeight w:val="1518"/>
        </w:trPr>
        <w:tc>
          <w:tcPr>
            <w:tcW w:w="3114" w:type="dxa"/>
          </w:tcPr>
          <w:p w14:paraId="0404F60E" w14:textId="58F3BC4E" w:rsidR="00CE4601" w:rsidRPr="00DC39F3" w:rsidRDefault="00CE4601">
            <w:pPr>
              <w:rPr>
                <w:b/>
                <w:bCs/>
              </w:rPr>
            </w:pPr>
            <w:r w:rsidRPr="00DC39F3">
              <w:rPr>
                <w:b/>
                <w:bCs/>
              </w:rPr>
              <w:t>Arbeitsmarkt: Bei sinkender Bevölkerung nimmt das Arbeitskräftepotenzial deutlich ab (Marktpreis hier: Lohnniveau)</w:t>
            </w:r>
          </w:p>
        </w:tc>
        <w:tc>
          <w:tcPr>
            <w:tcW w:w="2410" w:type="dxa"/>
          </w:tcPr>
          <w:p w14:paraId="4D60252B" w14:textId="3BFDE2BD" w:rsidR="00CE4601" w:rsidRDefault="00CE4601"/>
        </w:tc>
        <w:tc>
          <w:tcPr>
            <w:tcW w:w="1842" w:type="dxa"/>
          </w:tcPr>
          <w:p w14:paraId="7C7EB14B" w14:textId="05A49357" w:rsidR="00CE4601" w:rsidRDefault="00CE4601"/>
        </w:tc>
        <w:tc>
          <w:tcPr>
            <w:tcW w:w="1696" w:type="dxa"/>
          </w:tcPr>
          <w:p w14:paraId="23647FD0" w14:textId="15B512DA" w:rsidR="00CE4601" w:rsidRDefault="00CE4601"/>
        </w:tc>
      </w:tr>
      <w:tr w:rsidR="00CE4601" w14:paraId="65C4AA73" w14:textId="77777777" w:rsidTr="00CE4601">
        <w:tc>
          <w:tcPr>
            <w:tcW w:w="3114" w:type="dxa"/>
          </w:tcPr>
          <w:p w14:paraId="39BD4B90" w14:textId="6BF62D37" w:rsidR="00CE4601" w:rsidRPr="00DC39F3" w:rsidRDefault="00CE4601">
            <w:pPr>
              <w:rPr>
                <w:b/>
                <w:bCs/>
              </w:rPr>
            </w:pPr>
            <w:r w:rsidRPr="00DC39F3">
              <w:rPr>
                <w:b/>
                <w:bCs/>
              </w:rPr>
              <w:t>Arbeitsmarkt: Wegen des hohen Anstiegs der Produktion möchten die Unternehmen mehr Leute einstellen (Marktpreis hier: Lohnniveau)</w:t>
            </w:r>
          </w:p>
        </w:tc>
        <w:tc>
          <w:tcPr>
            <w:tcW w:w="2410" w:type="dxa"/>
          </w:tcPr>
          <w:p w14:paraId="2E08B4F2" w14:textId="15F046E0" w:rsidR="00CE4601" w:rsidRDefault="00CE4601"/>
        </w:tc>
        <w:tc>
          <w:tcPr>
            <w:tcW w:w="1842" w:type="dxa"/>
          </w:tcPr>
          <w:p w14:paraId="1F127564" w14:textId="672AB5A8" w:rsidR="00CE4601" w:rsidRDefault="00CE4601"/>
        </w:tc>
        <w:tc>
          <w:tcPr>
            <w:tcW w:w="1696" w:type="dxa"/>
          </w:tcPr>
          <w:p w14:paraId="222E5020" w14:textId="6C87EEE8" w:rsidR="00CE4601" w:rsidRDefault="00CE4601"/>
        </w:tc>
      </w:tr>
      <w:tr w:rsidR="00CE4601" w14:paraId="04E4ECEE" w14:textId="77777777" w:rsidTr="00CE4601">
        <w:tc>
          <w:tcPr>
            <w:tcW w:w="3114" w:type="dxa"/>
          </w:tcPr>
          <w:p w14:paraId="44CBDAEA" w14:textId="41BEB063" w:rsidR="00CE4601" w:rsidRPr="00DC39F3" w:rsidRDefault="0092305F">
            <w:pPr>
              <w:rPr>
                <w:b/>
                <w:bCs/>
              </w:rPr>
            </w:pPr>
            <w:r w:rsidRPr="00DC39F3">
              <w:rPr>
                <w:b/>
                <w:bCs/>
              </w:rPr>
              <w:t xml:space="preserve">Weltmarkt für Getreide: Wegen schlechter Witterungsbedingungen fällt die Ernte deutlich geringer aus als in den Vorjahre </w:t>
            </w:r>
          </w:p>
        </w:tc>
        <w:tc>
          <w:tcPr>
            <w:tcW w:w="2410" w:type="dxa"/>
          </w:tcPr>
          <w:p w14:paraId="5B9A1461" w14:textId="3DDBCD87" w:rsidR="00CE4601" w:rsidRDefault="00CE4601"/>
        </w:tc>
        <w:tc>
          <w:tcPr>
            <w:tcW w:w="1842" w:type="dxa"/>
          </w:tcPr>
          <w:p w14:paraId="410CB11E" w14:textId="35E5244E" w:rsidR="00CE4601" w:rsidRDefault="00CE4601"/>
        </w:tc>
        <w:tc>
          <w:tcPr>
            <w:tcW w:w="1696" w:type="dxa"/>
          </w:tcPr>
          <w:p w14:paraId="1EF3AA9C" w14:textId="32AE9F13" w:rsidR="00CE4601" w:rsidRDefault="00CE4601"/>
        </w:tc>
      </w:tr>
      <w:tr w:rsidR="0092305F" w14:paraId="4F411BCA" w14:textId="77777777" w:rsidTr="00CE4601">
        <w:tc>
          <w:tcPr>
            <w:tcW w:w="3114" w:type="dxa"/>
          </w:tcPr>
          <w:p w14:paraId="1D24AF0D" w14:textId="1DE37C2D" w:rsidR="0092305F" w:rsidRPr="00DC39F3" w:rsidRDefault="0092305F">
            <w:pPr>
              <w:rPr>
                <w:b/>
                <w:bCs/>
              </w:rPr>
            </w:pPr>
            <w:r w:rsidRPr="00DC39F3">
              <w:rPr>
                <w:b/>
                <w:bCs/>
              </w:rPr>
              <w:t>Markt für Computer: Durch technischen Fortschritt sinken die Produktionskosten für Computer mit einer bestimmten Rechenleistung</w:t>
            </w:r>
          </w:p>
        </w:tc>
        <w:tc>
          <w:tcPr>
            <w:tcW w:w="2410" w:type="dxa"/>
          </w:tcPr>
          <w:p w14:paraId="235C4EB4" w14:textId="346878D4" w:rsidR="0092305F" w:rsidRDefault="0092305F"/>
        </w:tc>
        <w:tc>
          <w:tcPr>
            <w:tcW w:w="1842" w:type="dxa"/>
          </w:tcPr>
          <w:p w14:paraId="27442616" w14:textId="70197477" w:rsidR="0092305F" w:rsidRDefault="0092305F"/>
        </w:tc>
        <w:tc>
          <w:tcPr>
            <w:tcW w:w="1696" w:type="dxa"/>
          </w:tcPr>
          <w:p w14:paraId="7C75D389" w14:textId="1B95EDE5" w:rsidR="0092305F" w:rsidRDefault="0092305F"/>
        </w:tc>
      </w:tr>
      <w:tr w:rsidR="0092305F" w14:paraId="01D9885B" w14:textId="77777777" w:rsidTr="00CE4601">
        <w:tc>
          <w:tcPr>
            <w:tcW w:w="3114" w:type="dxa"/>
          </w:tcPr>
          <w:p w14:paraId="61CF3CD8" w14:textId="3A4A8CEC" w:rsidR="0092305F" w:rsidRPr="00DC39F3" w:rsidRDefault="0092305F">
            <w:pPr>
              <w:rPr>
                <w:b/>
                <w:bCs/>
              </w:rPr>
            </w:pPr>
            <w:r w:rsidRPr="00DC39F3">
              <w:rPr>
                <w:b/>
                <w:bCs/>
              </w:rPr>
              <w:t>Reisebranche: Wegen der schlechten wirtschaftlichen Entwicklung werden wesentlichen weniger Geschäfts- und Urlaubsreisen geplant</w:t>
            </w:r>
          </w:p>
        </w:tc>
        <w:tc>
          <w:tcPr>
            <w:tcW w:w="2410" w:type="dxa"/>
          </w:tcPr>
          <w:p w14:paraId="665E09ED" w14:textId="26F02D1E" w:rsidR="0092305F" w:rsidRDefault="0092305F"/>
        </w:tc>
        <w:tc>
          <w:tcPr>
            <w:tcW w:w="1842" w:type="dxa"/>
          </w:tcPr>
          <w:p w14:paraId="40AFB2AC" w14:textId="3BEFFC8B" w:rsidR="0092305F" w:rsidRDefault="0092305F"/>
        </w:tc>
        <w:tc>
          <w:tcPr>
            <w:tcW w:w="1696" w:type="dxa"/>
          </w:tcPr>
          <w:p w14:paraId="2F6647B4" w14:textId="0C83041C" w:rsidR="0092305F" w:rsidRDefault="0092305F">
            <w:r>
              <w:t xml:space="preserve"> </w:t>
            </w:r>
          </w:p>
        </w:tc>
      </w:tr>
    </w:tbl>
    <w:p w14:paraId="42892CD1" w14:textId="77777777" w:rsidR="009873EF" w:rsidRDefault="009873EF">
      <w:pPr>
        <w:rPr>
          <w:b/>
          <w:bCs/>
          <w:u w:val="single"/>
        </w:rPr>
      </w:pPr>
    </w:p>
    <w:p w14:paraId="1C312E24" w14:textId="77777777" w:rsidR="009873EF" w:rsidRDefault="009873EF">
      <w:pPr>
        <w:contextualSpacing w:val="0"/>
        <w:rPr>
          <w:b/>
          <w:bCs/>
          <w:u w:val="single"/>
        </w:rPr>
      </w:pPr>
      <w:r>
        <w:rPr>
          <w:b/>
          <w:bCs/>
          <w:u w:val="single"/>
        </w:rPr>
        <w:br w:type="page"/>
      </w:r>
    </w:p>
    <w:p w14:paraId="22732F2B" w14:textId="58039327" w:rsidR="0092305F" w:rsidRPr="0092305F" w:rsidRDefault="0092305F">
      <w:pPr>
        <w:rPr>
          <w:b/>
          <w:bCs/>
          <w:u w:val="single"/>
        </w:rPr>
      </w:pPr>
      <w:r w:rsidRPr="0092305F">
        <w:rPr>
          <w:b/>
          <w:bCs/>
          <w:u w:val="single"/>
        </w:rPr>
        <w:lastRenderedPageBreak/>
        <w:t xml:space="preserve">Aufgabe 2: Volkswirtschaftliche Gesamtrechnung </w:t>
      </w:r>
    </w:p>
    <w:p w14:paraId="08723D1F" w14:textId="10D7D009" w:rsidR="0092305F" w:rsidRDefault="0092305F">
      <w:r>
        <w:t>In den Jahren 2010 bis 2022</w:t>
      </w:r>
    </w:p>
    <w:tbl>
      <w:tblPr>
        <w:tblStyle w:val="Tabellenraster"/>
        <w:tblW w:w="0" w:type="auto"/>
        <w:tblLook w:val="04A0" w:firstRow="1" w:lastRow="0" w:firstColumn="1" w:lastColumn="0" w:noHBand="0" w:noVBand="1"/>
      </w:tblPr>
      <w:tblGrid>
        <w:gridCol w:w="2830"/>
        <w:gridCol w:w="2127"/>
        <w:gridCol w:w="2126"/>
        <w:gridCol w:w="1979"/>
      </w:tblGrid>
      <w:tr w:rsidR="0092305F" w14:paraId="2B414CA3" w14:textId="77777777" w:rsidTr="0092305F">
        <w:tc>
          <w:tcPr>
            <w:tcW w:w="2830" w:type="dxa"/>
            <w:shd w:val="clear" w:color="auto" w:fill="1F3864" w:themeFill="accent1" w:themeFillShade="80"/>
          </w:tcPr>
          <w:p w14:paraId="30704547" w14:textId="77777777" w:rsidR="0092305F" w:rsidRPr="00DC39F3" w:rsidRDefault="0092305F">
            <w:pPr>
              <w:rPr>
                <w:b/>
                <w:bCs/>
                <w:color w:val="FFFFFF" w:themeColor="background1"/>
              </w:rPr>
            </w:pPr>
          </w:p>
        </w:tc>
        <w:tc>
          <w:tcPr>
            <w:tcW w:w="2127" w:type="dxa"/>
            <w:shd w:val="clear" w:color="auto" w:fill="1F3864" w:themeFill="accent1" w:themeFillShade="80"/>
          </w:tcPr>
          <w:p w14:paraId="5E1E85B7" w14:textId="5691DA98" w:rsidR="0092305F" w:rsidRPr="0092305F" w:rsidRDefault="0092305F" w:rsidP="00DC39F3">
            <w:pPr>
              <w:jc w:val="right"/>
              <w:rPr>
                <w:b/>
                <w:bCs/>
                <w:color w:val="FFFFFF" w:themeColor="background1"/>
              </w:rPr>
            </w:pPr>
            <w:r w:rsidRPr="0092305F">
              <w:rPr>
                <w:b/>
                <w:bCs/>
                <w:color w:val="FFFFFF" w:themeColor="background1"/>
              </w:rPr>
              <w:t>2022</w:t>
            </w:r>
          </w:p>
        </w:tc>
        <w:tc>
          <w:tcPr>
            <w:tcW w:w="2126" w:type="dxa"/>
            <w:shd w:val="clear" w:color="auto" w:fill="1F3864" w:themeFill="accent1" w:themeFillShade="80"/>
          </w:tcPr>
          <w:p w14:paraId="53FC9DEA" w14:textId="1C977A9E" w:rsidR="0092305F" w:rsidRPr="0092305F" w:rsidRDefault="0092305F" w:rsidP="00DC39F3">
            <w:pPr>
              <w:jc w:val="right"/>
              <w:rPr>
                <w:b/>
                <w:bCs/>
                <w:color w:val="FFFFFF" w:themeColor="background1"/>
              </w:rPr>
            </w:pPr>
            <w:r w:rsidRPr="0092305F">
              <w:rPr>
                <w:b/>
                <w:bCs/>
                <w:color w:val="FFFFFF" w:themeColor="background1"/>
              </w:rPr>
              <w:t>2021</w:t>
            </w:r>
          </w:p>
        </w:tc>
        <w:tc>
          <w:tcPr>
            <w:tcW w:w="1979" w:type="dxa"/>
            <w:shd w:val="clear" w:color="auto" w:fill="1F3864" w:themeFill="accent1" w:themeFillShade="80"/>
          </w:tcPr>
          <w:p w14:paraId="1D42EB15" w14:textId="4E340B8F" w:rsidR="0092305F" w:rsidRPr="0092305F" w:rsidRDefault="0092305F" w:rsidP="00DC39F3">
            <w:pPr>
              <w:jc w:val="right"/>
              <w:rPr>
                <w:b/>
                <w:bCs/>
                <w:color w:val="FFFFFF" w:themeColor="background1"/>
              </w:rPr>
            </w:pPr>
            <w:r w:rsidRPr="0092305F">
              <w:rPr>
                <w:b/>
                <w:bCs/>
                <w:color w:val="FFFFFF" w:themeColor="background1"/>
              </w:rPr>
              <w:t>2020</w:t>
            </w:r>
          </w:p>
        </w:tc>
      </w:tr>
      <w:tr w:rsidR="0092305F" w14:paraId="4C30CEA9" w14:textId="77777777" w:rsidTr="0092305F">
        <w:tc>
          <w:tcPr>
            <w:tcW w:w="2830" w:type="dxa"/>
          </w:tcPr>
          <w:p w14:paraId="101DDA46" w14:textId="77777777" w:rsidR="0092305F" w:rsidRDefault="0092305F">
            <w:pPr>
              <w:rPr>
                <w:b/>
                <w:bCs/>
              </w:rPr>
            </w:pPr>
            <w:r w:rsidRPr="00DC39F3">
              <w:rPr>
                <w:b/>
                <w:bCs/>
              </w:rPr>
              <w:t>Bruttoinlandsprodukt</w:t>
            </w:r>
          </w:p>
          <w:p w14:paraId="0325D20D" w14:textId="3731E4A8" w:rsidR="00DC39F3" w:rsidRPr="00DC39F3" w:rsidRDefault="00DC39F3">
            <w:pPr>
              <w:rPr>
                <w:b/>
                <w:bCs/>
              </w:rPr>
            </w:pPr>
          </w:p>
        </w:tc>
        <w:tc>
          <w:tcPr>
            <w:tcW w:w="2127" w:type="dxa"/>
          </w:tcPr>
          <w:p w14:paraId="5CF7DF1D" w14:textId="2F5F230E" w:rsidR="0092305F" w:rsidRDefault="00DC39F3" w:rsidP="00DC39F3">
            <w:pPr>
              <w:jc w:val="right"/>
            </w:pPr>
            <w:r>
              <w:t>2.592,60 Mrd.€</w:t>
            </w:r>
          </w:p>
        </w:tc>
        <w:tc>
          <w:tcPr>
            <w:tcW w:w="2126" w:type="dxa"/>
          </w:tcPr>
          <w:p w14:paraId="2C3743B0" w14:textId="5D231CAA" w:rsidR="0092305F" w:rsidRDefault="00DC39F3" w:rsidP="00DC39F3">
            <w:pPr>
              <w:jc w:val="right"/>
            </w:pPr>
            <w:r>
              <w:t>2.496,20 Mrd.€</w:t>
            </w:r>
          </w:p>
        </w:tc>
        <w:tc>
          <w:tcPr>
            <w:tcW w:w="1979" w:type="dxa"/>
          </w:tcPr>
          <w:p w14:paraId="5F2C93D9" w14:textId="0F7A2718" w:rsidR="0092305F" w:rsidRDefault="00DC39F3" w:rsidP="00DC39F3">
            <w:pPr>
              <w:jc w:val="right"/>
            </w:pPr>
            <w:r>
              <w:t>2.374,50 Mrd. €</w:t>
            </w:r>
          </w:p>
        </w:tc>
      </w:tr>
      <w:tr w:rsidR="0092305F" w14:paraId="2E84A217" w14:textId="77777777" w:rsidTr="0092305F">
        <w:tc>
          <w:tcPr>
            <w:tcW w:w="2830" w:type="dxa"/>
          </w:tcPr>
          <w:p w14:paraId="3D09B9D7" w14:textId="77777777" w:rsidR="0092305F" w:rsidRDefault="0092305F">
            <w:pPr>
              <w:rPr>
                <w:b/>
                <w:bCs/>
              </w:rPr>
            </w:pPr>
            <w:r w:rsidRPr="00DC39F3">
              <w:rPr>
                <w:b/>
                <w:bCs/>
              </w:rPr>
              <w:t>Volkseinkommen</w:t>
            </w:r>
          </w:p>
          <w:p w14:paraId="077519A4" w14:textId="644B6FB7" w:rsidR="00DC39F3" w:rsidRPr="00DC39F3" w:rsidRDefault="00DC39F3">
            <w:pPr>
              <w:rPr>
                <w:b/>
                <w:bCs/>
              </w:rPr>
            </w:pPr>
          </w:p>
        </w:tc>
        <w:tc>
          <w:tcPr>
            <w:tcW w:w="2127" w:type="dxa"/>
          </w:tcPr>
          <w:p w14:paraId="32655FCD" w14:textId="07D6ADB9" w:rsidR="0092305F" w:rsidRDefault="00DC39F3" w:rsidP="00DC39F3">
            <w:pPr>
              <w:jc w:val="right"/>
            </w:pPr>
            <w:r w:rsidRPr="00DC39F3">
              <w:t>1.984,62'Mrd.'€</w:t>
            </w:r>
          </w:p>
        </w:tc>
        <w:tc>
          <w:tcPr>
            <w:tcW w:w="2126" w:type="dxa"/>
          </w:tcPr>
          <w:p w14:paraId="7619104A" w14:textId="0D7A503A" w:rsidR="0092305F" w:rsidRDefault="00DC39F3" w:rsidP="00DC39F3">
            <w:pPr>
              <w:jc w:val="right"/>
            </w:pPr>
            <w:r w:rsidRPr="00DC39F3">
              <w:t>1.919,31'Mrd.'€</w:t>
            </w:r>
          </w:p>
        </w:tc>
        <w:tc>
          <w:tcPr>
            <w:tcW w:w="1979" w:type="dxa"/>
          </w:tcPr>
          <w:p w14:paraId="3A92D866" w14:textId="300884C6" w:rsidR="0092305F" w:rsidRDefault="00DC39F3" w:rsidP="00DC39F3">
            <w:pPr>
              <w:jc w:val="right"/>
            </w:pPr>
            <w:r w:rsidRPr="00DC39F3">
              <w:t>1.812,25'Mrd.'€</w:t>
            </w:r>
          </w:p>
        </w:tc>
      </w:tr>
      <w:tr w:rsidR="0092305F" w14:paraId="62DE9E1A" w14:textId="77777777" w:rsidTr="0092305F">
        <w:tc>
          <w:tcPr>
            <w:tcW w:w="2830" w:type="dxa"/>
          </w:tcPr>
          <w:p w14:paraId="4A1CFCCE" w14:textId="77777777" w:rsidR="0092305F" w:rsidRDefault="0092305F">
            <w:pPr>
              <w:rPr>
                <w:b/>
                <w:bCs/>
              </w:rPr>
            </w:pPr>
            <w:r w:rsidRPr="00DC39F3">
              <w:rPr>
                <w:b/>
                <w:bCs/>
              </w:rPr>
              <w:t>Arbeitnehmerentgelt</w:t>
            </w:r>
          </w:p>
          <w:p w14:paraId="314B0873" w14:textId="392B3856" w:rsidR="00DC39F3" w:rsidRPr="00DC39F3" w:rsidRDefault="00DC39F3">
            <w:pPr>
              <w:rPr>
                <w:b/>
                <w:bCs/>
              </w:rPr>
            </w:pPr>
          </w:p>
        </w:tc>
        <w:tc>
          <w:tcPr>
            <w:tcW w:w="2127" w:type="dxa"/>
          </w:tcPr>
          <w:p w14:paraId="268FF12E" w14:textId="2FA8556B" w:rsidR="0092305F" w:rsidRDefault="00DC39F3" w:rsidP="00DC39F3">
            <w:pPr>
              <w:jc w:val="right"/>
            </w:pPr>
            <w:r w:rsidRPr="00DC39F3">
              <w:t>1.327,97'Mrd.'€</w:t>
            </w:r>
          </w:p>
        </w:tc>
        <w:tc>
          <w:tcPr>
            <w:tcW w:w="2126" w:type="dxa"/>
          </w:tcPr>
          <w:p w14:paraId="7B243D89" w14:textId="65D8E518" w:rsidR="0092305F" w:rsidRDefault="00DC39F3" w:rsidP="00DC39F3">
            <w:pPr>
              <w:jc w:val="right"/>
            </w:pPr>
            <w:r w:rsidRPr="00DC39F3">
              <w:t>1.270,98'Mrd.'€</w:t>
            </w:r>
          </w:p>
        </w:tc>
        <w:tc>
          <w:tcPr>
            <w:tcW w:w="1979" w:type="dxa"/>
          </w:tcPr>
          <w:p w14:paraId="3859AA14" w14:textId="57A8BEE2" w:rsidR="0092305F" w:rsidRDefault="00DC39F3" w:rsidP="00DC39F3">
            <w:pPr>
              <w:jc w:val="right"/>
            </w:pPr>
            <w:r w:rsidRPr="00DC39F3">
              <w:t>1.233,41'Mrd.'€</w:t>
            </w:r>
          </w:p>
        </w:tc>
      </w:tr>
      <w:tr w:rsidR="0092305F" w14:paraId="76ADD541" w14:textId="77777777" w:rsidTr="0092305F">
        <w:tc>
          <w:tcPr>
            <w:tcW w:w="2830" w:type="dxa"/>
          </w:tcPr>
          <w:p w14:paraId="505F0DC5" w14:textId="77777777" w:rsidR="0092305F" w:rsidRDefault="0092305F">
            <w:pPr>
              <w:rPr>
                <w:b/>
                <w:bCs/>
              </w:rPr>
            </w:pPr>
            <w:r w:rsidRPr="00DC39F3">
              <w:rPr>
                <w:b/>
                <w:bCs/>
              </w:rPr>
              <w:t>VR-Arbeitnehmerentgelt</w:t>
            </w:r>
          </w:p>
          <w:p w14:paraId="11642750" w14:textId="3079EBFD" w:rsidR="00DC39F3" w:rsidRPr="00DC39F3" w:rsidRDefault="00DC39F3">
            <w:pPr>
              <w:rPr>
                <w:b/>
                <w:bCs/>
              </w:rPr>
            </w:pPr>
          </w:p>
        </w:tc>
        <w:tc>
          <w:tcPr>
            <w:tcW w:w="2127" w:type="dxa"/>
          </w:tcPr>
          <w:p w14:paraId="4A44CFB3" w14:textId="77777777" w:rsidR="0092305F" w:rsidRDefault="0092305F" w:rsidP="00DC39F3">
            <w:pPr>
              <w:jc w:val="right"/>
            </w:pPr>
          </w:p>
        </w:tc>
        <w:tc>
          <w:tcPr>
            <w:tcW w:w="2126" w:type="dxa"/>
          </w:tcPr>
          <w:p w14:paraId="4CE0E33D" w14:textId="77777777" w:rsidR="0092305F" w:rsidRDefault="0092305F" w:rsidP="00DC39F3">
            <w:pPr>
              <w:jc w:val="right"/>
            </w:pPr>
          </w:p>
        </w:tc>
        <w:tc>
          <w:tcPr>
            <w:tcW w:w="1979" w:type="dxa"/>
          </w:tcPr>
          <w:p w14:paraId="6A7A7380" w14:textId="024D2369" w:rsidR="0092305F" w:rsidRDefault="00DC39F3" w:rsidP="00DC39F3">
            <w:pPr>
              <w:jc w:val="right"/>
            </w:pPr>
            <w:r w:rsidRPr="00DC39F3">
              <w:t>+'0,3'%</w:t>
            </w:r>
          </w:p>
        </w:tc>
      </w:tr>
      <w:tr w:rsidR="0092305F" w14:paraId="73468BD5" w14:textId="77777777" w:rsidTr="0092305F">
        <w:tc>
          <w:tcPr>
            <w:tcW w:w="2830" w:type="dxa"/>
          </w:tcPr>
          <w:p w14:paraId="3D6AC43D" w14:textId="77777777" w:rsidR="0092305F" w:rsidRDefault="0092305F">
            <w:pPr>
              <w:rPr>
                <w:b/>
                <w:bCs/>
              </w:rPr>
            </w:pPr>
            <w:r w:rsidRPr="00DC39F3">
              <w:rPr>
                <w:b/>
                <w:bCs/>
              </w:rPr>
              <w:t>VR der Unternehmens- und Vermögenseinkommen</w:t>
            </w:r>
          </w:p>
          <w:p w14:paraId="0DC8D05D" w14:textId="69A015A2" w:rsidR="00DC39F3" w:rsidRPr="00DC39F3" w:rsidRDefault="00DC39F3">
            <w:pPr>
              <w:rPr>
                <w:b/>
                <w:bCs/>
              </w:rPr>
            </w:pPr>
          </w:p>
        </w:tc>
        <w:tc>
          <w:tcPr>
            <w:tcW w:w="2127" w:type="dxa"/>
          </w:tcPr>
          <w:p w14:paraId="6BEE3C1A" w14:textId="1270687D" w:rsidR="0092305F" w:rsidRDefault="00DC39F3" w:rsidP="00DC39F3">
            <w:pPr>
              <w:jc w:val="right"/>
            </w:pPr>
            <w:r w:rsidRPr="00DC39F3">
              <w:t>+'1,3'%</w:t>
            </w:r>
          </w:p>
        </w:tc>
        <w:tc>
          <w:tcPr>
            <w:tcW w:w="2126" w:type="dxa"/>
          </w:tcPr>
          <w:p w14:paraId="2D8493C1" w14:textId="7BB3B302" w:rsidR="0092305F" w:rsidRDefault="00DC39F3" w:rsidP="00DC39F3">
            <w:pPr>
              <w:jc w:val="right"/>
            </w:pPr>
            <w:r w:rsidRPr="00DC39F3">
              <w:t>+'12,0'%</w:t>
            </w:r>
          </w:p>
        </w:tc>
        <w:tc>
          <w:tcPr>
            <w:tcW w:w="1979" w:type="dxa"/>
          </w:tcPr>
          <w:p w14:paraId="52251294" w14:textId="707C0784" w:rsidR="0092305F" w:rsidRDefault="00DC39F3" w:rsidP="00DC39F3">
            <w:pPr>
              <w:jc w:val="right"/>
            </w:pPr>
            <w:r>
              <w:t>-</w:t>
            </w:r>
            <w:r w:rsidRPr="00DC39F3">
              <w:t>12,4'%</w:t>
            </w:r>
          </w:p>
        </w:tc>
      </w:tr>
      <w:tr w:rsidR="0092305F" w14:paraId="0DC3F0E3" w14:textId="77777777" w:rsidTr="0092305F">
        <w:tc>
          <w:tcPr>
            <w:tcW w:w="2830" w:type="dxa"/>
          </w:tcPr>
          <w:p w14:paraId="7D0F5E20" w14:textId="77777777" w:rsidR="0092305F" w:rsidRDefault="0092305F">
            <w:pPr>
              <w:rPr>
                <w:b/>
                <w:bCs/>
              </w:rPr>
            </w:pPr>
            <w:r w:rsidRPr="00DC39F3">
              <w:rPr>
                <w:b/>
                <w:bCs/>
              </w:rPr>
              <w:t>VR der Durchschnittslöhne</w:t>
            </w:r>
          </w:p>
          <w:p w14:paraId="65CC0FAB" w14:textId="43F73093" w:rsidR="00DC39F3" w:rsidRPr="00DC39F3" w:rsidRDefault="00DC39F3">
            <w:pPr>
              <w:rPr>
                <w:b/>
                <w:bCs/>
              </w:rPr>
            </w:pPr>
          </w:p>
        </w:tc>
        <w:tc>
          <w:tcPr>
            <w:tcW w:w="2127" w:type="dxa"/>
          </w:tcPr>
          <w:p w14:paraId="60820174" w14:textId="173CAF19" w:rsidR="0092305F" w:rsidRDefault="00DC39F3" w:rsidP="00DC39F3">
            <w:pPr>
              <w:jc w:val="right"/>
            </w:pPr>
            <w:r w:rsidRPr="00DC39F3">
              <w:t>+'3,4'%</w:t>
            </w:r>
          </w:p>
        </w:tc>
        <w:tc>
          <w:tcPr>
            <w:tcW w:w="2126" w:type="dxa"/>
          </w:tcPr>
          <w:p w14:paraId="767E97B4" w14:textId="322A19E0" w:rsidR="0092305F" w:rsidRDefault="00DC39F3" w:rsidP="00DC39F3">
            <w:pPr>
              <w:jc w:val="right"/>
            </w:pPr>
            <w:r w:rsidRPr="00DC39F3">
              <w:t>+'2,3'%</w:t>
            </w:r>
          </w:p>
        </w:tc>
        <w:tc>
          <w:tcPr>
            <w:tcW w:w="1979" w:type="dxa"/>
          </w:tcPr>
          <w:p w14:paraId="718EC90D" w14:textId="726F3CBC" w:rsidR="0092305F" w:rsidRDefault="00DC39F3" w:rsidP="00DC39F3">
            <w:pPr>
              <w:ind w:firstLine="708"/>
              <w:jc w:val="right"/>
            </w:pPr>
            <w:r w:rsidRPr="00DC39F3">
              <w:t>± 0,0'%</w:t>
            </w:r>
          </w:p>
        </w:tc>
      </w:tr>
      <w:tr w:rsidR="0092305F" w14:paraId="5C9E8F8F" w14:textId="77777777" w:rsidTr="0092305F">
        <w:tc>
          <w:tcPr>
            <w:tcW w:w="2830" w:type="dxa"/>
          </w:tcPr>
          <w:p w14:paraId="2707AD73" w14:textId="7CF890B5" w:rsidR="0092305F" w:rsidRPr="00DC39F3" w:rsidRDefault="0092305F">
            <w:pPr>
              <w:rPr>
                <w:b/>
                <w:bCs/>
              </w:rPr>
            </w:pPr>
            <w:r w:rsidRPr="00DC39F3">
              <w:rPr>
                <w:b/>
                <w:bCs/>
              </w:rPr>
              <w:t>Verfügbares Einkommen der privaten Haushalten</w:t>
            </w:r>
          </w:p>
        </w:tc>
        <w:tc>
          <w:tcPr>
            <w:tcW w:w="2127" w:type="dxa"/>
          </w:tcPr>
          <w:p w14:paraId="6C95ECD1" w14:textId="5E194588" w:rsidR="0092305F" w:rsidRDefault="00DC39F3" w:rsidP="00DC39F3">
            <w:pPr>
              <w:jc w:val="right"/>
            </w:pPr>
            <w:r w:rsidRPr="00DC39F3">
              <w:t>1.660,24'Mrd.'€</w:t>
            </w:r>
          </w:p>
        </w:tc>
        <w:tc>
          <w:tcPr>
            <w:tcW w:w="2126" w:type="dxa"/>
          </w:tcPr>
          <w:p w14:paraId="4EAAF82C" w14:textId="71E8FB13" w:rsidR="0092305F" w:rsidRDefault="00DC39F3" w:rsidP="00DC39F3">
            <w:pPr>
              <w:jc w:val="right"/>
            </w:pPr>
            <w:r w:rsidRPr="00DC39F3">
              <w:t>1.607,90'Mrd.'€</w:t>
            </w:r>
          </w:p>
        </w:tc>
        <w:tc>
          <w:tcPr>
            <w:tcW w:w="1979" w:type="dxa"/>
          </w:tcPr>
          <w:p w14:paraId="0FFF9FB5" w14:textId="219DBF89" w:rsidR="0092305F" w:rsidRDefault="00DC39F3" w:rsidP="00DC39F3">
            <w:pPr>
              <w:jc w:val="right"/>
            </w:pPr>
            <w:r w:rsidRPr="00DC39F3">
              <w:t>1.560,48'Mrd.'€</w:t>
            </w:r>
          </w:p>
        </w:tc>
      </w:tr>
      <w:tr w:rsidR="0092305F" w14:paraId="46EE23B1" w14:textId="77777777" w:rsidTr="0092305F">
        <w:tc>
          <w:tcPr>
            <w:tcW w:w="2830" w:type="dxa"/>
          </w:tcPr>
          <w:p w14:paraId="7E0D1B19" w14:textId="24BDBFC4" w:rsidR="0092305F" w:rsidRPr="00DC39F3" w:rsidRDefault="0092305F">
            <w:pPr>
              <w:rPr>
                <w:b/>
                <w:bCs/>
              </w:rPr>
            </w:pPr>
            <w:r w:rsidRPr="00DC39F3">
              <w:rPr>
                <w:b/>
                <w:bCs/>
              </w:rPr>
              <w:t>VR des verfügbaren Einkommen der privaten Haushalte</w:t>
            </w:r>
          </w:p>
        </w:tc>
        <w:tc>
          <w:tcPr>
            <w:tcW w:w="2127" w:type="dxa"/>
          </w:tcPr>
          <w:p w14:paraId="57D59600" w14:textId="77777777" w:rsidR="0092305F" w:rsidRDefault="0092305F" w:rsidP="00DC39F3">
            <w:pPr>
              <w:jc w:val="right"/>
            </w:pPr>
          </w:p>
        </w:tc>
        <w:tc>
          <w:tcPr>
            <w:tcW w:w="2126" w:type="dxa"/>
          </w:tcPr>
          <w:p w14:paraId="37E86B05" w14:textId="77777777" w:rsidR="0092305F" w:rsidRDefault="0092305F" w:rsidP="00DC39F3">
            <w:pPr>
              <w:jc w:val="right"/>
            </w:pPr>
          </w:p>
        </w:tc>
        <w:tc>
          <w:tcPr>
            <w:tcW w:w="1979" w:type="dxa"/>
          </w:tcPr>
          <w:p w14:paraId="6A5E83AB" w14:textId="16ADFA73" w:rsidR="0092305F" w:rsidRDefault="00DC39F3" w:rsidP="00DC39F3">
            <w:pPr>
              <w:jc w:val="right"/>
            </w:pPr>
            <w:r>
              <w:t xml:space="preserve">- </w:t>
            </w:r>
            <w:r w:rsidRPr="00DC39F3">
              <w:t>0,5'%</w:t>
            </w:r>
          </w:p>
        </w:tc>
      </w:tr>
      <w:tr w:rsidR="0092305F" w14:paraId="02E5C8C7" w14:textId="77777777" w:rsidTr="0092305F">
        <w:tc>
          <w:tcPr>
            <w:tcW w:w="2830" w:type="dxa"/>
          </w:tcPr>
          <w:p w14:paraId="0D4D672D" w14:textId="1E94359B" w:rsidR="0092305F" w:rsidRPr="00DC39F3" w:rsidRDefault="0092305F">
            <w:pPr>
              <w:rPr>
                <w:b/>
                <w:bCs/>
              </w:rPr>
            </w:pPr>
            <w:r w:rsidRPr="00DC39F3">
              <w:rPr>
                <w:b/>
                <w:bCs/>
              </w:rPr>
              <w:t xml:space="preserve">Sparen der privaten Haushalte </w:t>
            </w:r>
          </w:p>
        </w:tc>
        <w:tc>
          <w:tcPr>
            <w:tcW w:w="2127" w:type="dxa"/>
          </w:tcPr>
          <w:p w14:paraId="6D7BEA9C" w14:textId="3C839A25" w:rsidR="0092305F" w:rsidRDefault="00DC39F3" w:rsidP="00DC39F3">
            <w:pPr>
              <w:jc w:val="right"/>
            </w:pPr>
            <w:r w:rsidRPr="00DC39F3">
              <w:t>172,58'Mrd.'€</w:t>
            </w:r>
          </w:p>
        </w:tc>
        <w:tc>
          <w:tcPr>
            <w:tcW w:w="2126" w:type="dxa"/>
          </w:tcPr>
          <w:p w14:paraId="45E44487" w14:textId="43F335D0" w:rsidR="0092305F" w:rsidRDefault="00DC39F3" w:rsidP="00DC39F3">
            <w:pPr>
              <w:jc w:val="right"/>
            </w:pPr>
            <w:r w:rsidRPr="00DC39F3">
              <w:t>174,74'Mrd.'€</w:t>
            </w:r>
          </w:p>
        </w:tc>
        <w:tc>
          <w:tcPr>
            <w:tcW w:w="1979" w:type="dxa"/>
          </w:tcPr>
          <w:p w14:paraId="6125D192" w14:textId="00F9B8EB" w:rsidR="0092305F" w:rsidRDefault="00DC39F3" w:rsidP="00DC39F3">
            <w:pPr>
              <w:jc w:val="right"/>
            </w:pPr>
            <w:r w:rsidRPr="00DC39F3">
              <w:t>170,10'Mrd.'€</w:t>
            </w:r>
          </w:p>
        </w:tc>
      </w:tr>
    </w:tbl>
    <w:p w14:paraId="7E04CF8E" w14:textId="0737B0CB" w:rsidR="0092305F" w:rsidRDefault="0092305F"/>
    <w:p w14:paraId="7E860FAB" w14:textId="6BF2C992" w:rsidR="00DC39F3" w:rsidRDefault="00DC39F3">
      <w:r>
        <w:t>Berechnen Sie nachvollziehbar die folgenden Größen:</w:t>
      </w:r>
    </w:p>
    <w:p w14:paraId="5C2BDFF2" w14:textId="1A3B3523" w:rsidR="00DC39F3" w:rsidRDefault="00DC39F3"/>
    <w:tbl>
      <w:tblPr>
        <w:tblStyle w:val="Tabellenraster"/>
        <w:tblW w:w="0" w:type="auto"/>
        <w:tblLook w:val="04A0" w:firstRow="1" w:lastRow="0" w:firstColumn="1" w:lastColumn="0" w:noHBand="0" w:noVBand="1"/>
      </w:tblPr>
      <w:tblGrid>
        <w:gridCol w:w="2689"/>
        <w:gridCol w:w="4394"/>
        <w:gridCol w:w="1979"/>
      </w:tblGrid>
      <w:tr w:rsidR="00DC39F3" w14:paraId="7288FB92" w14:textId="77777777" w:rsidTr="00DC39F3">
        <w:tc>
          <w:tcPr>
            <w:tcW w:w="2689" w:type="dxa"/>
            <w:shd w:val="clear" w:color="auto" w:fill="1F3864" w:themeFill="accent1" w:themeFillShade="80"/>
          </w:tcPr>
          <w:p w14:paraId="41A13F9A" w14:textId="6BF1ABE0" w:rsidR="00DC39F3" w:rsidRPr="00DC39F3" w:rsidRDefault="00DC39F3" w:rsidP="00DC39F3">
            <w:pPr>
              <w:jc w:val="center"/>
              <w:rPr>
                <w:b/>
                <w:bCs/>
                <w:color w:val="FFFFFF" w:themeColor="background1"/>
              </w:rPr>
            </w:pPr>
            <w:r w:rsidRPr="00DC39F3">
              <w:rPr>
                <w:b/>
                <w:bCs/>
                <w:color w:val="FFFFFF" w:themeColor="background1"/>
              </w:rPr>
              <w:t>Zu berechnende Größe</w:t>
            </w:r>
          </w:p>
        </w:tc>
        <w:tc>
          <w:tcPr>
            <w:tcW w:w="4394" w:type="dxa"/>
            <w:shd w:val="clear" w:color="auto" w:fill="1F3864" w:themeFill="accent1" w:themeFillShade="80"/>
          </w:tcPr>
          <w:p w14:paraId="6211DE92" w14:textId="37324CF1" w:rsidR="00DC39F3" w:rsidRPr="00DC39F3" w:rsidRDefault="00DC39F3" w:rsidP="00DC39F3">
            <w:pPr>
              <w:jc w:val="center"/>
              <w:rPr>
                <w:b/>
                <w:bCs/>
                <w:color w:val="FFFFFF" w:themeColor="background1"/>
              </w:rPr>
            </w:pPr>
            <w:r w:rsidRPr="00DC39F3">
              <w:rPr>
                <w:b/>
                <w:bCs/>
                <w:color w:val="FFFFFF" w:themeColor="background1"/>
              </w:rPr>
              <w:t>Berechnung</w:t>
            </w:r>
          </w:p>
        </w:tc>
        <w:tc>
          <w:tcPr>
            <w:tcW w:w="1979" w:type="dxa"/>
            <w:shd w:val="clear" w:color="auto" w:fill="1F3864" w:themeFill="accent1" w:themeFillShade="80"/>
          </w:tcPr>
          <w:p w14:paraId="1426BFCD" w14:textId="77777777" w:rsidR="00DC39F3" w:rsidRDefault="00DC39F3" w:rsidP="00DC39F3">
            <w:pPr>
              <w:jc w:val="center"/>
              <w:rPr>
                <w:b/>
                <w:bCs/>
                <w:color w:val="FFFFFF" w:themeColor="background1"/>
              </w:rPr>
            </w:pPr>
            <w:r w:rsidRPr="00DC39F3">
              <w:rPr>
                <w:b/>
                <w:bCs/>
                <w:color w:val="FFFFFF" w:themeColor="background1"/>
              </w:rPr>
              <w:t>Ergebnis</w:t>
            </w:r>
          </w:p>
          <w:p w14:paraId="629468E5" w14:textId="5084DD33" w:rsidR="009873EF" w:rsidRPr="00DC39F3" w:rsidRDefault="009873EF" w:rsidP="00DC39F3">
            <w:pPr>
              <w:jc w:val="center"/>
              <w:rPr>
                <w:b/>
                <w:bCs/>
                <w:color w:val="FFFFFF" w:themeColor="background1"/>
              </w:rPr>
            </w:pPr>
          </w:p>
        </w:tc>
      </w:tr>
      <w:tr w:rsidR="00DC39F3" w14:paraId="548AD872" w14:textId="77777777" w:rsidTr="00DC39F3">
        <w:tc>
          <w:tcPr>
            <w:tcW w:w="2689" w:type="dxa"/>
          </w:tcPr>
          <w:p w14:paraId="3F917395" w14:textId="46D6C6BD" w:rsidR="00DC39F3" w:rsidRDefault="00DC39F3" w:rsidP="00DC39F3">
            <w:r>
              <w:t xml:space="preserve">VR des </w:t>
            </w:r>
          </w:p>
          <w:p w14:paraId="4A0BEAED" w14:textId="08F504FD" w:rsidR="00DC39F3" w:rsidRDefault="00DC39F3" w:rsidP="00DC39F3">
            <w:r>
              <w:t>Volkseinkommens im Jahr'</w:t>
            </w:r>
          </w:p>
          <w:p w14:paraId="54DB9866" w14:textId="4F174D7B" w:rsidR="00DC39F3" w:rsidRDefault="00DC39F3" w:rsidP="00DC39F3">
            <w:r>
              <w:t>202</w:t>
            </w:r>
            <w:r w:rsidR="00184534">
              <w:t>2</w:t>
            </w:r>
            <w:r>
              <w:t xml:space="preserve"> (gegenüber'202</w:t>
            </w:r>
            <w:r w:rsidR="00184534">
              <w:t>1</w:t>
            </w:r>
            <w:r>
              <w:t>)</w:t>
            </w:r>
          </w:p>
          <w:p w14:paraId="0C27FCD7" w14:textId="4C041D0F" w:rsidR="00DC39F3" w:rsidRDefault="00DC39F3" w:rsidP="00DC39F3"/>
        </w:tc>
        <w:tc>
          <w:tcPr>
            <w:tcW w:w="4394" w:type="dxa"/>
          </w:tcPr>
          <w:p w14:paraId="751B6DB0" w14:textId="7B424C73" w:rsidR="00DC39F3" w:rsidRDefault="00DC39F3">
            <w:r>
              <w:t>(</w:t>
            </w:r>
          </w:p>
        </w:tc>
        <w:tc>
          <w:tcPr>
            <w:tcW w:w="1979" w:type="dxa"/>
          </w:tcPr>
          <w:p w14:paraId="384BF1DF" w14:textId="27ED2A84" w:rsidR="00DC39F3" w:rsidRDefault="00DC39F3"/>
        </w:tc>
      </w:tr>
      <w:tr w:rsidR="00DC39F3" w14:paraId="5FA54017" w14:textId="77777777" w:rsidTr="00DC39F3">
        <w:tc>
          <w:tcPr>
            <w:tcW w:w="2689" w:type="dxa"/>
          </w:tcPr>
          <w:p w14:paraId="3AA07384" w14:textId="39408668" w:rsidR="00DC39F3" w:rsidRDefault="00DC39F3" w:rsidP="00DC39F3">
            <w:r>
              <w:t xml:space="preserve">'VR des </w:t>
            </w:r>
          </w:p>
          <w:p w14:paraId="387C5037" w14:textId="6EF0A785" w:rsidR="00DC39F3" w:rsidRDefault="00DC39F3" w:rsidP="00DC39F3">
            <w:r>
              <w:t xml:space="preserve">Arbeitnehmerentgelts im </w:t>
            </w:r>
          </w:p>
          <w:p w14:paraId="141E2FD7" w14:textId="5D82DE9F" w:rsidR="00DC39F3" w:rsidRDefault="00DC39F3" w:rsidP="00DC39F3">
            <w:r>
              <w:t>Jahr'202</w:t>
            </w:r>
            <w:r w:rsidR="00184534">
              <w:t>2</w:t>
            </w:r>
            <w:r>
              <w:t>'(gegenüber'</w:t>
            </w:r>
          </w:p>
          <w:p w14:paraId="6D9E5E7C" w14:textId="178E2CCE" w:rsidR="00DC39F3" w:rsidRDefault="00DC39F3" w:rsidP="00DC39F3">
            <w:r>
              <w:t>202</w:t>
            </w:r>
            <w:r w:rsidR="00184534">
              <w:t>1</w:t>
            </w:r>
            <w:r>
              <w:t>)</w:t>
            </w:r>
          </w:p>
        </w:tc>
        <w:tc>
          <w:tcPr>
            <w:tcW w:w="4394" w:type="dxa"/>
          </w:tcPr>
          <w:p w14:paraId="6F9BA96A" w14:textId="77777777" w:rsidR="00DC39F3" w:rsidRDefault="00DC39F3"/>
        </w:tc>
        <w:tc>
          <w:tcPr>
            <w:tcW w:w="1979" w:type="dxa"/>
          </w:tcPr>
          <w:p w14:paraId="41BF36C7" w14:textId="472F4779" w:rsidR="00DC39F3" w:rsidRDefault="00DC39F3"/>
        </w:tc>
      </w:tr>
      <w:tr w:rsidR="00DC39F3" w14:paraId="4428C703" w14:textId="77777777" w:rsidTr="00DC39F3">
        <w:tc>
          <w:tcPr>
            <w:tcW w:w="2689" w:type="dxa"/>
          </w:tcPr>
          <w:p w14:paraId="61989D5A" w14:textId="30B0C846" w:rsidR="00DC39F3" w:rsidRDefault="00184534">
            <w:r>
              <w:t xml:space="preserve">VR </w:t>
            </w:r>
            <w:r w:rsidRPr="00184534">
              <w:t>des</w:t>
            </w:r>
            <w:r>
              <w:t xml:space="preserve"> </w:t>
            </w:r>
            <w:r w:rsidRPr="00184534">
              <w:t>verfügbaren Einkommens</w:t>
            </w:r>
            <w:r>
              <w:t xml:space="preserve"> </w:t>
            </w:r>
            <w:r w:rsidRPr="00184534">
              <w:t>der</w:t>
            </w:r>
            <w:r>
              <w:t xml:space="preserve"> </w:t>
            </w:r>
            <w:r w:rsidRPr="00184534">
              <w:t>privaten' Haushalte'im'Jahr'20</w:t>
            </w:r>
            <w:r>
              <w:t>21</w:t>
            </w:r>
            <w:r w:rsidRPr="00184534">
              <w:t>'' (gegenüber'20</w:t>
            </w:r>
            <w:r>
              <w:t>20</w:t>
            </w:r>
            <w:r w:rsidRPr="00184534">
              <w:t>)</w:t>
            </w:r>
          </w:p>
        </w:tc>
        <w:tc>
          <w:tcPr>
            <w:tcW w:w="4394" w:type="dxa"/>
          </w:tcPr>
          <w:p w14:paraId="36D96E39" w14:textId="77777777" w:rsidR="00DC39F3" w:rsidRDefault="00DC39F3"/>
        </w:tc>
        <w:tc>
          <w:tcPr>
            <w:tcW w:w="1979" w:type="dxa"/>
          </w:tcPr>
          <w:p w14:paraId="4E664318" w14:textId="77777777" w:rsidR="00DC39F3" w:rsidRDefault="00DC39F3"/>
        </w:tc>
      </w:tr>
      <w:tr w:rsidR="00DC39F3" w14:paraId="2EBFAAD8" w14:textId="77777777" w:rsidTr="00DC39F3">
        <w:tc>
          <w:tcPr>
            <w:tcW w:w="2689" w:type="dxa"/>
          </w:tcPr>
          <w:p w14:paraId="4120D6A2" w14:textId="77777777" w:rsidR="00DC39F3" w:rsidRDefault="00184534">
            <w:r w:rsidRPr="00184534">
              <w:t>'Sparquote</w:t>
            </w:r>
            <w:r>
              <w:t xml:space="preserve"> </w:t>
            </w:r>
            <w:r w:rsidRPr="00184534">
              <w:t>im</w:t>
            </w:r>
            <w:r>
              <w:t xml:space="preserve"> </w:t>
            </w:r>
            <w:r w:rsidRPr="00184534">
              <w:t>Jahr</w:t>
            </w:r>
            <w:r>
              <w:t xml:space="preserve"> </w:t>
            </w:r>
            <w:r w:rsidRPr="00184534">
              <w:t>20</w:t>
            </w:r>
            <w:r>
              <w:t>20</w:t>
            </w:r>
          </w:p>
          <w:p w14:paraId="6B678904" w14:textId="4564A528" w:rsidR="00184534" w:rsidRDefault="00184534"/>
        </w:tc>
        <w:tc>
          <w:tcPr>
            <w:tcW w:w="4394" w:type="dxa"/>
          </w:tcPr>
          <w:p w14:paraId="7E0050DD" w14:textId="77777777" w:rsidR="00DC39F3" w:rsidRDefault="00DC39F3"/>
        </w:tc>
        <w:tc>
          <w:tcPr>
            <w:tcW w:w="1979" w:type="dxa"/>
          </w:tcPr>
          <w:p w14:paraId="6D2B3C92" w14:textId="77777777" w:rsidR="00DC39F3" w:rsidRDefault="00DC39F3"/>
        </w:tc>
      </w:tr>
      <w:tr w:rsidR="00DC39F3" w14:paraId="2F7614B6" w14:textId="77777777" w:rsidTr="00DC39F3">
        <w:tc>
          <w:tcPr>
            <w:tcW w:w="2689" w:type="dxa"/>
          </w:tcPr>
          <w:p w14:paraId="04CE021D" w14:textId="77777777" w:rsidR="00DC39F3" w:rsidRDefault="00184534">
            <w:r w:rsidRPr="00184534">
              <w:t>Konsumquote</w:t>
            </w:r>
            <w:r>
              <w:t xml:space="preserve"> </w:t>
            </w:r>
            <w:r w:rsidRPr="00184534">
              <w:t>im</w:t>
            </w:r>
            <w:r>
              <w:t xml:space="preserve"> </w:t>
            </w:r>
            <w:r w:rsidRPr="00184534">
              <w:t>Jahr 20</w:t>
            </w:r>
            <w:r>
              <w:t>20</w:t>
            </w:r>
          </w:p>
          <w:p w14:paraId="0A09F96A" w14:textId="23D6DC4C" w:rsidR="00184534" w:rsidRDefault="00184534"/>
        </w:tc>
        <w:tc>
          <w:tcPr>
            <w:tcW w:w="4394" w:type="dxa"/>
          </w:tcPr>
          <w:p w14:paraId="3BB1FBEC" w14:textId="77777777" w:rsidR="00DC39F3" w:rsidRDefault="00DC39F3"/>
        </w:tc>
        <w:tc>
          <w:tcPr>
            <w:tcW w:w="1979" w:type="dxa"/>
          </w:tcPr>
          <w:p w14:paraId="361A7137" w14:textId="77777777" w:rsidR="00DC39F3" w:rsidRDefault="00DC39F3"/>
        </w:tc>
      </w:tr>
      <w:tr w:rsidR="00DC39F3" w14:paraId="0AC3FBD0" w14:textId="77777777" w:rsidTr="00DC39F3">
        <w:tc>
          <w:tcPr>
            <w:tcW w:w="2689" w:type="dxa"/>
          </w:tcPr>
          <w:p w14:paraId="55B2D691" w14:textId="77777777" w:rsidR="00DC39F3" w:rsidRDefault="00184534">
            <w:r>
              <w:t>Lohnquote im Jahr 2020</w:t>
            </w:r>
          </w:p>
          <w:p w14:paraId="600559C4" w14:textId="6E33D658" w:rsidR="00184534" w:rsidRDefault="00184534"/>
        </w:tc>
        <w:tc>
          <w:tcPr>
            <w:tcW w:w="4394" w:type="dxa"/>
          </w:tcPr>
          <w:p w14:paraId="48519144" w14:textId="77777777" w:rsidR="00DC39F3" w:rsidRDefault="00DC39F3"/>
        </w:tc>
        <w:tc>
          <w:tcPr>
            <w:tcW w:w="1979" w:type="dxa"/>
          </w:tcPr>
          <w:p w14:paraId="7C3EA81B" w14:textId="77777777" w:rsidR="00DC39F3" w:rsidRDefault="00DC39F3"/>
        </w:tc>
      </w:tr>
      <w:tr w:rsidR="00184534" w14:paraId="2C46229D" w14:textId="77777777" w:rsidTr="00DC39F3">
        <w:tc>
          <w:tcPr>
            <w:tcW w:w="2689" w:type="dxa"/>
          </w:tcPr>
          <w:p w14:paraId="3ADA5E8B" w14:textId="77777777" w:rsidR="00184534" w:rsidRDefault="00184534">
            <w:r>
              <w:t>Gewinnquote im Jahr 2020</w:t>
            </w:r>
          </w:p>
          <w:p w14:paraId="1C783C0C" w14:textId="55626570" w:rsidR="00184534" w:rsidRDefault="00184534"/>
        </w:tc>
        <w:tc>
          <w:tcPr>
            <w:tcW w:w="4394" w:type="dxa"/>
          </w:tcPr>
          <w:p w14:paraId="4BA46563" w14:textId="77777777" w:rsidR="00184534" w:rsidRDefault="00184534"/>
        </w:tc>
        <w:tc>
          <w:tcPr>
            <w:tcW w:w="1979" w:type="dxa"/>
          </w:tcPr>
          <w:p w14:paraId="7CD2564F" w14:textId="77777777" w:rsidR="00184534" w:rsidRDefault="00184534"/>
        </w:tc>
      </w:tr>
      <w:tr w:rsidR="00184534" w14:paraId="2D042A8A" w14:textId="77777777" w:rsidTr="00DC39F3">
        <w:tc>
          <w:tcPr>
            <w:tcW w:w="2689" w:type="dxa"/>
          </w:tcPr>
          <w:p w14:paraId="73E6E537" w14:textId="34498D9D" w:rsidR="00184534" w:rsidRDefault="00184534">
            <w:r>
              <w:t>Lohnquote im Jahr 2019</w:t>
            </w:r>
          </w:p>
        </w:tc>
        <w:tc>
          <w:tcPr>
            <w:tcW w:w="4394" w:type="dxa"/>
          </w:tcPr>
          <w:p w14:paraId="7BF47579" w14:textId="77777777" w:rsidR="00184534" w:rsidRDefault="00184534"/>
        </w:tc>
        <w:tc>
          <w:tcPr>
            <w:tcW w:w="1979" w:type="dxa"/>
          </w:tcPr>
          <w:p w14:paraId="6C4BA4F5" w14:textId="77777777" w:rsidR="00184534" w:rsidRDefault="00184534"/>
        </w:tc>
      </w:tr>
    </w:tbl>
    <w:p w14:paraId="6C723A9B" w14:textId="04CA8978" w:rsidR="00DC39F3" w:rsidRDefault="00DC39F3"/>
    <w:p w14:paraId="5CD1B4B8" w14:textId="77777777" w:rsidR="009873EF" w:rsidRDefault="009873EF">
      <w:pPr>
        <w:contextualSpacing w:val="0"/>
        <w:rPr>
          <w:b/>
          <w:bCs/>
          <w:u w:val="single"/>
        </w:rPr>
      </w:pPr>
      <w:r>
        <w:rPr>
          <w:b/>
          <w:bCs/>
          <w:u w:val="single"/>
        </w:rPr>
        <w:br w:type="page"/>
      </w:r>
    </w:p>
    <w:p w14:paraId="6908745E" w14:textId="2D98DFE2" w:rsidR="00184534" w:rsidRPr="00184534" w:rsidRDefault="00184534">
      <w:pPr>
        <w:rPr>
          <w:b/>
          <w:bCs/>
          <w:u w:val="single"/>
        </w:rPr>
      </w:pPr>
      <w:r w:rsidRPr="00184534">
        <w:rPr>
          <w:b/>
          <w:bCs/>
          <w:u w:val="single"/>
        </w:rPr>
        <w:lastRenderedPageBreak/>
        <w:t>Aufgabe 3- Arbeitsmarkt</w:t>
      </w:r>
    </w:p>
    <w:p w14:paraId="3DCFF6AE" w14:textId="388A9FD3" w:rsidR="00184534" w:rsidRPr="00184534" w:rsidRDefault="00184534">
      <w:pPr>
        <w:rPr>
          <w:b/>
          <w:bCs/>
          <w:i/>
          <w:iCs/>
        </w:rPr>
      </w:pPr>
      <w:r w:rsidRPr="00184534">
        <w:rPr>
          <w:b/>
          <w:bCs/>
          <w:i/>
          <w:iCs/>
        </w:rPr>
        <w:t>Beschreiben Sie, wie sich die Einführung eines Mindestlohns oberhalb des gleichgewichtigen Lohnsatzes auf dem Arbeitsmarkt auswirkt. Veranschaulichen Sie die Wirkungen auch grafisch eines geeigneten Diagramms</w:t>
      </w:r>
      <w:r>
        <w:rPr>
          <w:b/>
          <w:bCs/>
          <w:i/>
          <w:iCs/>
        </w:rPr>
        <w:t>.</w:t>
      </w:r>
    </w:p>
    <w:p w14:paraId="7A626697" w14:textId="740EEBF4" w:rsidR="00184534" w:rsidRDefault="00184534"/>
    <w:p w14:paraId="5C555BFC" w14:textId="7CBEA00F" w:rsidR="00184534" w:rsidRPr="00184534" w:rsidRDefault="00184534" w:rsidP="00184534">
      <w:pPr>
        <w:rPr>
          <w:b/>
          <w:bCs/>
        </w:rPr>
      </w:pPr>
      <w:r>
        <w:rPr>
          <w:b/>
          <w:bCs/>
        </w:rPr>
        <w:t xml:space="preserve">Aufgabe 4- </w:t>
      </w:r>
      <w:r w:rsidRPr="00184534">
        <w:rPr>
          <w:b/>
          <w:bCs/>
        </w:rPr>
        <w:t>Wirtschaftsziele</w:t>
      </w:r>
    </w:p>
    <w:p w14:paraId="51B6A7D1" w14:textId="77777777" w:rsidR="00184534" w:rsidRPr="00184534" w:rsidRDefault="00184534" w:rsidP="00184534">
      <w:r w:rsidRPr="00184534">
        <w:t>Nennen Sie alle geltenden Stabilisierungsziele und geben Sie für diese den jeweiligen Indikator zur Messung der Zielerreichung und den zugehörigen Zielwert an.</w:t>
      </w:r>
    </w:p>
    <w:p w14:paraId="47316F3F" w14:textId="77777777" w:rsidR="00184534" w:rsidRDefault="00184534"/>
    <w:sectPr w:rsidR="001845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7414"/>
    <w:multiLevelType w:val="hybridMultilevel"/>
    <w:tmpl w:val="E1F4D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206D50"/>
    <w:multiLevelType w:val="hybridMultilevel"/>
    <w:tmpl w:val="D3866F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A96E8A"/>
    <w:multiLevelType w:val="hybridMultilevel"/>
    <w:tmpl w:val="3CC6DF7C"/>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01"/>
    <w:rsid w:val="00184534"/>
    <w:rsid w:val="003B0717"/>
    <w:rsid w:val="0092305F"/>
    <w:rsid w:val="009873EF"/>
    <w:rsid w:val="00CE4601"/>
    <w:rsid w:val="00D42C2A"/>
    <w:rsid w:val="00DC39F3"/>
    <w:rsid w:val="00EA7F55"/>
    <w:rsid w:val="00EE7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B1F3"/>
  <w15:chartTrackingRefBased/>
  <w15:docId w15:val="{7CC1FF02-75AD-48B3-90FB-D790A9D0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CA1"/>
    <w:pPr>
      <w:contextualSpacing/>
    </w:pPr>
  </w:style>
  <w:style w:type="paragraph" w:styleId="berschrift1">
    <w:name w:val="heading 1"/>
    <w:basedOn w:val="Standard"/>
    <w:next w:val="Standard"/>
    <w:link w:val="berschrift1Zchn"/>
    <w:uiPriority w:val="9"/>
    <w:qFormat/>
    <w:rsid w:val="00CE4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4601"/>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CE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46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2381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lauraciecior</dc:creator>
  <cp:keywords/>
  <dc:description/>
  <cp:lastModifiedBy>Kiss, Iuliana</cp:lastModifiedBy>
  <cp:revision>2</cp:revision>
  <cp:lastPrinted>2023-02-21T06:18:00Z</cp:lastPrinted>
  <dcterms:created xsi:type="dcterms:W3CDTF">2023-02-21T06:35:00Z</dcterms:created>
  <dcterms:modified xsi:type="dcterms:W3CDTF">2023-02-21T06:35:00Z</dcterms:modified>
</cp:coreProperties>
</file>